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20883" w14:textId="0A5D354B" w:rsidR="006E0850" w:rsidRDefault="003208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#119bis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R2-</w:t>
      </w:r>
      <w:r>
        <w:rPr>
          <w:b/>
          <w:noProof/>
          <w:sz w:val="28"/>
        </w:rPr>
        <w:t>22110</w:t>
      </w:r>
      <w:r w:rsidR="000F2123">
        <w:rPr>
          <w:b/>
          <w:noProof/>
          <w:sz w:val="28"/>
        </w:rPr>
        <w:t>28</w:t>
      </w:r>
    </w:p>
    <w:p w14:paraId="356D9003" w14:textId="77777777" w:rsidR="006E0850" w:rsidRDefault="00320836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4"/>
          <w:lang w:eastAsia="ja-JP"/>
        </w:rPr>
        <w:t>Electronic October 2022</w:t>
      </w:r>
    </w:p>
    <w:p w14:paraId="473A97D5" w14:textId="77777777" w:rsidR="006E0850" w:rsidRDefault="006E0850">
      <w:pPr>
        <w:rPr>
          <w:rFonts w:ascii="Arial" w:hAnsi="Arial" w:cs="Arial"/>
          <w:color w:val="000000"/>
        </w:rPr>
      </w:pPr>
    </w:p>
    <w:p w14:paraId="2DDFB0EE" w14:textId="34D22489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bookmarkStart w:id="0" w:name="_Hlk116898752"/>
      <w:r>
        <w:rPr>
          <w:rFonts w:ascii="Arial" w:hAnsi="Arial" w:cs="Arial"/>
          <w:bCs/>
          <w:color w:val="000000"/>
        </w:rPr>
        <w:t>LS on further further questions on feMIMO RRC parameters</w:t>
      </w:r>
    </w:p>
    <w:bookmarkEnd w:id="0"/>
    <w:p w14:paraId="7993592C" w14:textId="77777777" w:rsidR="006E0850" w:rsidRDefault="00320836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24D0EE76" w14:textId="77777777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7E58F9E8" w14:textId="77777777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NR_feMIMO-Core</w:t>
      </w:r>
    </w:p>
    <w:p w14:paraId="36783FB4" w14:textId="77777777" w:rsidR="006E0850" w:rsidRDefault="006E085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3E30B123" w14:textId="21A2182A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6D084FE6" w14:textId="77777777" w:rsidR="006E0850" w:rsidRDefault="00320836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72EE0FA1" w14:textId="77777777" w:rsidR="006E0850" w:rsidRDefault="006E0850">
      <w:pPr>
        <w:spacing w:after="60"/>
        <w:ind w:left="1985" w:hanging="1985"/>
        <w:rPr>
          <w:rFonts w:ascii="Arial" w:hAnsi="Arial" w:cs="Arial"/>
          <w:bCs/>
        </w:rPr>
      </w:pPr>
    </w:p>
    <w:p w14:paraId="31DA950A" w14:textId="77777777" w:rsidR="006E0850" w:rsidRDefault="003208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9947CB9" w14:textId="77777777" w:rsidR="006E0850" w:rsidRDefault="0032083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Helka-Liina Määttänen</w:t>
      </w:r>
    </w:p>
    <w:p w14:paraId="408181C0" w14:textId="77777777" w:rsidR="006E0850" w:rsidRDefault="0032083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435B7399" w14:textId="77777777" w:rsidR="006E0850" w:rsidRDefault="006E0850">
      <w:pPr>
        <w:spacing w:after="60"/>
        <w:ind w:left="1985" w:hanging="1985"/>
        <w:rPr>
          <w:rFonts w:ascii="Arial" w:hAnsi="Arial" w:cs="Arial"/>
          <w:b/>
        </w:rPr>
      </w:pPr>
    </w:p>
    <w:p w14:paraId="266E8E0C" w14:textId="77777777" w:rsidR="006E0850" w:rsidRDefault="0032083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A4C378D" w14:textId="77777777" w:rsidR="006E0850" w:rsidRDefault="006E0850">
      <w:pPr>
        <w:spacing w:after="60"/>
        <w:ind w:left="1985" w:hanging="1985"/>
        <w:rPr>
          <w:rFonts w:ascii="Arial" w:hAnsi="Arial" w:cs="Arial"/>
          <w:b/>
        </w:rPr>
      </w:pPr>
    </w:p>
    <w:p w14:paraId="58FC0A37" w14:textId="77777777" w:rsidR="006E0850" w:rsidRDefault="0032083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5820D2B2" w14:textId="77777777" w:rsidR="006E0850" w:rsidRDefault="006E0850">
      <w:pPr>
        <w:pBdr>
          <w:bottom w:val="single" w:sz="4" w:space="1" w:color="auto"/>
        </w:pBdr>
        <w:rPr>
          <w:rFonts w:ascii="Arial" w:hAnsi="Arial" w:cs="Arial"/>
        </w:rPr>
      </w:pPr>
    </w:p>
    <w:p w14:paraId="7E3FD405" w14:textId="77777777" w:rsidR="006E0850" w:rsidRDefault="006E0850">
      <w:pPr>
        <w:rPr>
          <w:rFonts w:ascii="Arial" w:hAnsi="Arial" w:cs="Arial"/>
        </w:rPr>
      </w:pPr>
    </w:p>
    <w:p w14:paraId="71B5D074" w14:textId="77777777" w:rsidR="006E0850" w:rsidRDefault="00320836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670AF018" w14:textId="77777777" w:rsidR="006E0850" w:rsidRDefault="006E0850">
      <w:pPr>
        <w:spacing w:after="120"/>
        <w:rPr>
          <w:rFonts w:ascii="Arial" w:hAnsi="Arial" w:cs="Arial"/>
          <w:b/>
        </w:rPr>
      </w:pPr>
    </w:p>
    <w:p w14:paraId="29A9AF99" w14:textId="77777777" w:rsidR="006E0850" w:rsidRDefault="003208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BWP and cell ID in unified TCI state for SRS</w:t>
      </w:r>
    </w:p>
    <w:p w14:paraId="6DC2431E" w14:textId="77777777" w:rsidR="006E0850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discussed the need for BWP ID and c</w:t>
      </w:r>
      <w:r>
        <w:rPr>
          <w:rFonts w:ascii="Arial" w:eastAsia="DengXian" w:hAnsi="Arial" w:cs="Arial" w:hint="eastAsia"/>
          <w:lang w:eastAsia="zh-CN"/>
        </w:rPr>
        <w:t>e</w:t>
      </w:r>
      <w:r>
        <w:rPr>
          <w:rFonts w:ascii="Arial" w:hAnsi="Arial" w:cs="Arial"/>
        </w:rPr>
        <w:t>ll ID for unified TCI state for SRS.</w:t>
      </w:r>
    </w:p>
    <w:p w14:paraId="5095BB20" w14:textId="77777777" w:rsidR="006E0850" w:rsidRDefault="00320836">
      <w:pPr>
        <w:pStyle w:val="BodyText"/>
        <w:rPr>
          <w:color w:val="auto"/>
        </w:rPr>
      </w:pPr>
      <w:r>
        <w:rPr>
          <w:color w:val="auto"/>
        </w:rPr>
        <w:t xml:space="preserve">In </w:t>
      </w:r>
      <w:r>
        <w:rPr>
          <w:i/>
          <w:color w:val="auto"/>
        </w:rPr>
        <w:t>SRS-config</w:t>
      </w:r>
      <w:r>
        <w:rPr>
          <w:color w:val="auto"/>
        </w:rPr>
        <w:t xml:space="preserve">, </w:t>
      </w:r>
      <w:r>
        <w:rPr>
          <w:i/>
          <w:color w:val="auto"/>
        </w:rPr>
        <w:t>SRS</w:t>
      </w:r>
      <w:r>
        <w:rPr>
          <w:i/>
          <w:color w:val="auto"/>
        </w:rPr>
        <w:t xml:space="preserve">-Resource </w:t>
      </w:r>
      <w:r>
        <w:rPr>
          <w:color w:val="auto"/>
        </w:rPr>
        <w:t>is configured with the unified TCI states:</w:t>
      </w:r>
    </w:p>
    <w:p w14:paraId="1B38A3C1" w14:textId="77777777" w:rsidR="006E0850" w:rsidRDefault="00320836">
      <w:pPr>
        <w:pStyle w:val="PL"/>
      </w:pPr>
      <w:r>
        <w:t xml:space="preserve">    srs-TCIState-r17                        </w:t>
      </w:r>
      <w:r>
        <w:rPr>
          <w:color w:val="993366"/>
        </w:rPr>
        <w:t>CHOICE</w:t>
      </w:r>
      <w:r>
        <w:t xml:space="preserve"> {</w:t>
      </w:r>
    </w:p>
    <w:p w14:paraId="66EED085" w14:textId="77777777" w:rsidR="006E0850" w:rsidRDefault="00320836">
      <w:pPr>
        <w:pStyle w:val="PL"/>
      </w:pPr>
      <w:r>
        <w:t xml:space="preserve">        srs-UL-TCIState-r17                     TCI-UL-State-Id-r17,</w:t>
      </w:r>
    </w:p>
    <w:p w14:paraId="72C25B00" w14:textId="77777777" w:rsidR="006E0850" w:rsidRDefault="00320836">
      <w:pPr>
        <w:pStyle w:val="PL"/>
      </w:pPr>
      <w:r>
        <w:t xml:space="preserve">        srs-DLorJoint-TCIState-r17              TCI-StateId</w:t>
      </w:r>
    </w:p>
    <w:p w14:paraId="252A034A" w14:textId="77777777" w:rsidR="006E0850" w:rsidRDefault="00320836">
      <w:pPr>
        <w:pStyle w:val="PL"/>
        <w:rPr>
          <w:color w:val="808080"/>
        </w:rPr>
      </w:pPr>
      <w:r>
        <w:t xml:space="preserve">    }                </w:t>
      </w:r>
      <w:r>
        <w:t xml:space="preserve">                                                  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 w14:paraId="57CD0420" w14:textId="77777777" w:rsidR="006E0850" w:rsidRDefault="00320836">
      <w:pPr>
        <w:pStyle w:val="PL"/>
      </w:pPr>
      <w:r>
        <w:t xml:space="preserve">    ]]</w:t>
      </w:r>
    </w:p>
    <w:p w14:paraId="6F241C15" w14:textId="77777777" w:rsidR="006E0850" w:rsidRDefault="006E0850">
      <w:pPr>
        <w:pStyle w:val="BodyText"/>
      </w:pPr>
    </w:p>
    <w:p w14:paraId="57202C4D" w14:textId="77777777" w:rsidR="000F2123" w:rsidRDefault="000F2123">
      <w:pPr>
        <w:spacing w:after="120"/>
        <w:rPr>
          <w:rFonts w:ascii="Arial" w:eastAsia="DengXian" w:hAnsi="Arial" w:cs="Arial"/>
          <w:lang w:eastAsia="zh-CN"/>
        </w:rPr>
      </w:pPr>
    </w:p>
    <w:p w14:paraId="57565760" w14:textId="2620E5E4" w:rsidR="006E0850" w:rsidRDefault="00320836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RAN2 is wondering whether there should be serving cell and BWP ID explicitly associated with the present UL TCI state or DL/Joint TCI state </w:t>
      </w:r>
      <w:r>
        <w:rPr>
          <w:rFonts w:ascii="Arial" w:eastAsia="DengXian" w:hAnsi="Arial" w:cs="Arial"/>
          <w:lang w:eastAsia="zh-CN"/>
        </w:rPr>
        <w:t>of SRS.</w:t>
      </w:r>
    </w:p>
    <w:p w14:paraId="0EF13ACE" w14:textId="77777777" w:rsidR="000F2123" w:rsidRDefault="000F2123">
      <w:pPr>
        <w:spacing w:after="120"/>
        <w:rPr>
          <w:rFonts w:ascii="Arial" w:eastAsia="DengXian" w:hAnsi="Arial" w:cs="Arial"/>
          <w:lang w:eastAsia="zh-CN"/>
        </w:rPr>
      </w:pPr>
    </w:p>
    <w:p w14:paraId="2662E08F" w14:textId="085062F6" w:rsidR="006E0850" w:rsidRDefault="00320836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UL TCI state is present, RAN2 understands there are two alternatives associating the BWP and serving cell with the UL TCI state:</w:t>
      </w:r>
    </w:p>
    <w:p w14:paraId="3A4D89E4" w14:textId="77777777" w:rsidR="006E0850" w:rsidRDefault="00320836">
      <w:pPr>
        <w:pStyle w:val="ListParagraph"/>
        <w:numPr>
          <w:ilvl w:val="0"/>
          <w:numId w:val="45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Add the separate fields BWP ID and Cell ID in </w:t>
      </w:r>
      <w:r>
        <w:rPr>
          <w:rFonts w:ascii="Arial" w:eastAsia="DengXian" w:hAnsi="Arial" w:cs="Arial"/>
          <w:i/>
          <w:lang w:eastAsia="zh-CN"/>
        </w:rPr>
        <w:t>srs-UL-TCIState-r17</w:t>
      </w:r>
    </w:p>
    <w:p w14:paraId="4BAFD5A8" w14:textId="77777777" w:rsidR="006E0850" w:rsidRDefault="00320836">
      <w:pPr>
        <w:pStyle w:val="ListParagraph"/>
        <w:numPr>
          <w:ilvl w:val="0"/>
          <w:numId w:val="45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Clarify in the field description of </w:t>
      </w:r>
      <w:r>
        <w:rPr>
          <w:rFonts w:ascii="Arial" w:eastAsia="DengXian" w:hAnsi="Arial" w:cs="Arial"/>
          <w:i/>
          <w:lang w:eastAsia="zh-CN"/>
        </w:rPr>
        <w:t>srs-TCIState-r17</w:t>
      </w:r>
      <w:r>
        <w:rPr>
          <w:rFonts w:ascii="Arial" w:eastAsia="DengXian" w:hAnsi="Arial" w:cs="Arial"/>
          <w:lang w:eastAsia="zh-CN"/>
        </w:rPr>
        <w:t xml:space="preserve"> that the present UL-TCI-State is associated with the BWP and serving cell where the </w:t>
      </w:r>
      <w:r>
        <w:rPr>
          <w:rFonts w:ascii="Arial" w:eastAsia="DengXian" w:hAnsi="Arial" w:cs="Arial"/>
          <w:i/>
          <w:lang w:eastAsia="zh-CN"/>
        </w:rPr>
        <w:t>SRS-Config</w:t>
      </w:r>
      <w:r>
        <w:rPr>
          <w:rFonts w:ascii="Arial" w:eastAsia="DengXian" w:hAnsi="Arial" w:cs="Arial"/>
          <w:lang w:eastAsia="zh-CN"/>
        </w:rPr>
        <w:t xml:space="preserve"> is configured.</w:t>
      </w:r>
    </w:p>
    <w:p w14:paraId="33A4621A" w14:textId="77777777" w:rsidR="006E0850" w:rsidRDefault="00320836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For the case that the Joint TCI state is present, RAN2 understands there are also two alterna</w:t>
      </w:r>
      <w:r>
        <w:rPr>
          <w:rFonts w:ascii="Arial" w:eastAsia="DengXian" w:hAnsi="Arial" w:cs="Arial"/>
          <w:lang w:eastAsia="zh-CN"/>
        </w:rPr>
        <w:t>tives associating the BWP and serving cell with the Joint TCI state:</w:t>
      </w:r>
    </w:p>
    <w:p w14:paraId="445451A4" w14:textId="77777777" w:rsidR="006E0850" w:rsidRDefault="00320836">
      <w:pPr>
        <w:pStyle w:val="ListParagraph"/>
        <w:numPr>
          <w:ilvl w:val="0"/>
          <w:numId w:val="46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Add the separate fields BWP ID and Cell ID in </w:t>
      </w:r>
      <w:r>
        <w:rPr>
          <w:rFonts w:ascii="Arial" w:eastAsia="DengXian" w:hAnsi="Arial" w:cs="Arial"/>
          <w:i/>
          <w:lang w:eastAsia="zh-CN"/>
        </w:rPr>
        <w:t>srs-DlorJoint-TCIState-r17</w:t>
      </w:r>
    </w:p>
    <w:p w14:paraId="71CCE461" w14:textId="77777777" w:rsidR="006E0850" w:rsidRDefault="00320836">
      <w:pPr>
        <w:pStyle w:val="ListParagraph"/>
        <w:numPr>
          <w:ilvl w:val="0"/>
          <w:numId w:val="46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Clarify in the field description of </w:t>
      </w:r>
      <w:r>
        <w:rPr>
          <w:rFonts w:ascii="Arial" w:eastAsia="DengXian" w:hAnsi="Arial" w:cs="Arial"/>
          <w:i/>
          <w:lang w:eastAsia="zh-CN"/>
        </w:rPr>
        <w:t>srs-TCIState-r17</w:t>
      </w:r>
      <w:r>
        <w:rPr>
          <w:rFonts w:ascii="Arial" w:eastAsia="DengXian" w:hAnsi="Arial" w:cs="Arial"/>
          <w:lang w:eastAsia="zh-CN"/>
        </w:rPr>
        <w:t xml:space="preserve"> that the Joint TCI state </w:t>
      </w:r>
      <w:r>
        <w:rPr>
          <w:rFonts w:ascii="Arial" w:eastAsia="DengXian" w:hAnsi="Arial" w:cs="Arial" w:hint="eastAsia"/>
          <w:lang w:eastAsia="zh-CN"/>
        </w:rPr>
        <w:t>is</w:t>
      </w:r>
      <w:r>
        <w:rPr>
          <w:rFonts w:ascii="Arial" w:eastAsia="DengXian" w:hAnsi="Arial" w:cs="Arial"/>
          <w:lang w:eastAsia="zh-CN"/>
        </w:rPr>
        <w:t xml:space="preserve"> associated with the serving cell </w:t>
      </w:r>
      <w:r>
        <w:rPr>
          <w:rFonts w:ascii="Arial" w:eastAsia="DengXian" w:hAnsi="Arial" w:cs="Arial"/>
          <w:lang w:eastAsia="zh-CN"/>
        </w:rPr>
        <w:t xml:space="preserve">where the </w:t>
      </w:r>
      <w:r>
        <w:rPr>
          <w:rFonts w:ascii="Arial" w:eastAsia="DengXian" w:hAnsi="Arial" w:cs="Arial"/>
          <w:i/>
          <w:lang w:eastAsia="zh-CN"/>
        </w:rPr>
        <w:t>SRS-Config</w:t>
      </w:r>
      <w:r>
        <w:rPr>
          <w:rFonts w:ascii="Arial" w:eastAsia="DengXian" w:hAnsi="Arial" w:cs="Arial"/>
          <w:lang w:eastAsia="zh-CN"/>
        </w:rPr>
        <w:t xml:space="preserve"> is configured and the current active DL BWP of this serving cell. </w:t>
      </w:r>
    </w:p>
    <w:p w14:paraId="5C625B57" w14:textId="77777777" w:rsidR="006E0850" w:rsidRDefault="006E0850">
      <w:pPr>
        <w:spacing w:after="120"/>
        <w:rPr>
          <w:rFonts w:ascii="Arial" w:eastAsia="DengXian" w:hAnsi="Arial" w:cs="Arial"/>
          <w:lang w:eastAsia="zh-CN"/>
        </w:rPr>
      </w:pPr>
    </w:p>
    <w:p w14:paraId="44570D6B" w14:textId="77777777" w:rsidR="006E0850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51581F2D" w14:textId="664862A3" w:rsidR="000F2123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According to above RAN2 understandings, RAN2 would like to ask RAN1 to explain what the association of BWP and cell ID for srs-TCIState is.</w:t>
      </w:r>
    </w:p>
    <w:p w14:paraId="01FCEA0D" w14:textId="77777777" w:rsidR="000F2123" w:rsidRDefault="000F2123">
      <w:pPr>
        <w:spacing w:after="120"/>
        <w:rPr>
          <w:rFonts w:ascii="Arial" w:hAnsi="Arial" w:cs="Arial"/>
        </w:rPr>
      </w:pPr>
    </w:p>
    <w:p w14:paraId="66E41CF8" w14:textId="583856BF" w:rsidR="000F2123" w:rsidRDefault="000F2123">
      <w:pPr>
        <w:spacing w:after="120"/>
        <w:rPr>
          <w:rFonts w:ascii="Arial" w:hAnsi="Arial" w:cs="Arial"/>
        </w:rPr>
      </w:pPr>
    </w:p>
    <w:p w14:paraId="0464B282" w14:textId="77777777" w:rsidR="000F2123" w:rsidRDefault="000F2123">
      <w:pPr>
        <w:spacing w:after="120"/>
        <w:rPr>
          <w:rFonts w:ascii="Arial" w:hAnsi="Arial" w:cs="Arial"/>
        </w:rPr>
      </w:pPr>
    </w:p>
    <w:p w14:paraId="688FD0D2" w14:textId="77777777" w:rsidR="006E0850" w:rsidRDefault="00320836">
      <w:pPr>
        <w:spacing w:after="120"/>
        <w:rPr>
          <w:rFonts w:ascii="Arial" w:hAnsi="Arial" w:cs="Arial"/>
          <w:b/>
        </w:rPr>
      </w:pPr>
      <w:r>
        <w:rPr>
          <w:rFonts w:ascii="Arial" w:eastAsia="DengXian" w:hAnsi="Arial" w:cs="Arial" w:hint="eastAsia"/>
          <w:b/>
          <w:lang w:eastAsia="zh-CN"/>
        </w:rPr>
        <w:lastRenderedPageBreak/>
        <w:t>c</w:t>
      </w:r>
      <w:r>
        <w:rPr>
          <w:rFonts w:ascii="Arial" w:hAnsi="Arial" w:cs="Arial"/>
          <w:b/>
        </w:rPr>
        <w:t>odebookmode fo</w:t>
      </w:r>
      <w:r>
        <w:rPr>
          <w:rFonts w:ascii="Arial" w:hAnsi="Arial" w:cs="Arial"/>
          <w:b/>
        </w:rPr>
        <w:t>r codebookConfig</w:t>
      </w:r>
    </w:p>
    <w:p w14:paraId="704AF89B" w14:textId="77777777" w:rsidR="006E0850" w:rsidRDefault="00320836">
      <w:pPr>
        <w:spacing w:after="120"/>
      </w:pPr>
      <w:r>
        <w:rPr>
          <w:rFonts w:ascii="Arial" w:hAnsi="Arial" w:cs="Arial"/>
        </w:rPr>
        <w:t>RAN2 also discussed the need of codebook</w:t>
      </w:r>
      <w:r>
        <w:rPr>
          <w:rFonts w:ascii="Arial" w:eastAsia="DengXian" w:hAnsi="Arial" w:cs="Arial" w:hint="eastAsia"/>
          <w:lang w:eastAsia="zh-CN"/>
        </w:rPr>
        <w:t>M</w:t>
      </w:r>
      <w:r>
        <w:rPr>
          <w:rFonts w:ascii="Arial" w:hAnsi="Arial" w:cs="Arial"/>
        </w:rPr>
        <w:t xml:space="preserve">ode for </w:t>
      </w:r>
      <w:r>
        <w:rPr>
          <w:rFonts w:ascii="Arial" w:hAnsi="Arial" w:cs="Arial"/>
          <w:i/>
          <w:iCs/>
        </w:rPr>
        <w:t>CodebookConfig-r17.</w:t>
      </w:r>
    </w:p>
    <w:p w14:paraId="073036DE" w14:textId="211C2C0D" w:rsidR="006E0850" w:rsidRDefault="006E0850">
      <w:pPr>
        <w:spacing w:after="120"/>
      </w:pPr>
    </w:p>
    <w:p w14:paraId="50D2A8DE" w14:textId="77777777" w:rsidR="000F2123" w:rsidRDefault="000F2123">
      <w:pPr>
        <w:spacing w:after="120"/>
      </w:pPr>
    </w:p>
    <w:p w14:paraId="5FB58D22" w14:textId="77777777" w:rsidR="006E0850" w:rsidRDefault="00320836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Question 2</w:t>
      </w:r>
    </w:p>
    <w:p w14:paraId="52F42AD1" w14:textId="77777777" w:rsidR="006E0850" w:rsidRDefault="003208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would like to ask RAN1</w:t>
      </w:r>
    </w:p>
    <w:p w14:paraId="7C1B691E" w14:textId="77777777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Is there a need to add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parameter </w:t>
      </w:r>
      <w:r>
        <w:rPr>
          <w:rFonts w:ascii="Arial" w:eastAsia="DengXian" w:hAnsi="Arial" w:cs="Arial" w:hint="eastAsia"/>
          <w:lang w:eastAsia="zh-CN"/>
        </w:rPr>
        <w:t xml:space="preserve">codebookMode </w:t>
      </w:r>
      <w:r>
        <w:rPr>
          <w:rFonts w:ascii="Arial" w:hAnsi="Arial" w:cs="Arial"/>
        </w:rPr>
        <w:t xml:space="preserve">which selects mode1 or mode2 in </w:t>
      </w:r>
      <w:r>
        <w:rPr>
          <w:rFonts w:ascii="Arial" w:eastAsia="DengXian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>IE CodebookConfig-r17?</w:t>
      </w:r>
    </w:p>
    <w:p w14:paraId="429C91E5" w14:textId="77777777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 w:hint="eastAsia"/>
          <w:lang w:eastAsia="zh-CN"/>
        </w:rPr>
        <w:t xml:space="preserve">If a) is needed, </w:t>
      </w:r>
      <w:r>
        <w:rPr>
          <w:rFonts w:ascii="Arial" w:eastAsia="DengXian" w:hAnsi="Arial" w:cs="Arial"/>
          <w:lang w:eastAsia="zh-CN"/>
        </w:rPr>
        <w:t xml:space="preserve">which types of codebook the parameter is needed, </w:t>
      </w:r>
      <w:r>
        <w:rPr>
          <w:rFonts w:ascii="Arial" w:eastAsia="DengXian" w:hAnsi="Arial" w:cs="Arial"/>
          <w:lang w:eastAsia="zh-CN"/>
        </w:rPr>
        <w:t>for example</w:t>
      </w:r>
      <w:r>
        <w:rPr>
          <w:rFonts w:ascii="Arial" w:eastAsia="DengXian" w:hAnsi="Arial" w:cs="Arial"/>
          <w:lang w:eastAsia="zh-CN"/>
        </w:rPr>
        <w:t>:</w:t>
      </w:r>
    </w:p>
    <w:p w14:paraId="0B95CA8C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typeI-SinglePanel-Group1-r17</w:t>
      </w:r>
    </w:p>
    <w:p w14:paraId="0C8813DC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typeI-SinglePanel-Group2-r17</w:t>
      </w:r>
    </w:p>
    <w:p w14:paraId="7B7D76CE" w14:textId="77777777" w:rsidR="006E0850" w:rsidRDefault="00320836">
      <w:pPr>
        <w:pStyle w:val="ListParagraph"/>
        <w:numPr>
          <w:ilvl w:val="1"/>
          <w:numId w:val="3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typeII-PortSelection-r17</w:t>
      </w:r>
    </w:p>
    <w:p w14:paraId="1743C941" w14:textId="42E56855" w:rsidR="006E0850" w:rsidRDefault="00320836">
      <w:pPr>
        <w:pStyle w:val="ListParagraph"/>
        <w:numPr>
          <w:ilvl w:val="0"/>
          <w:numId w:val="39"/>
        </w:numPr>
        <w:spacing w:after="12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>Additionally,</w:t>
      </w:r>
      <w:r>
        <w:rPr>
          <w:rFonts w:ascii="Arial" w:eastAsia="DengXian" w:hAnsi="Arial" w:cs="Arial"/>
          <w:lang w:eastAsia="zh-CN"/>
        </w:rPr>
        <w:t xml:space="preserve"> if a) is needed, for each type of codebook that </w:t>
      </w:r>
      <w:r>
        <w:rPr>
          <w:rFonts w:ascii="Arial" w:eastAsia="DengXian" w:hAnsi="Arial" w:cs="Arial" w:hint="eastAsia"/>
          <w:lang w:eastAsia="zh-CN"/>
        </w:rPr>
        <w:t xml:space="preserve">needs </w:t>
      </w:r>
      <w:r>
        <w:rPr>
          <w:rFonts w:ascii="Arial" w:eastAsia="DengXian" w:hAnsi="Arial" w:cs="Arial"/>
          <w:lang w:eastAsia="zh-CN"/>
        </w:rPr>
        <w:t>a parameter codebookMode</w:t>
      </w:r>
      <w:r>
        <w:rPr>
          <w:rFonts w:ascii="Arial" w:eastAsia="DengXian" w:hAnsi="Arial" w:cs="Arial"/>
          <w:lang w:eastAsia="zh-CN"/>
        </w:rPr>
        <w:t xml:space="preserve">, please </w:t>
      </w:r>
      <w:r>
        <w:rPr>
          <w:rFonts w:ascii="Arial" w:eastAsia="DengXian" w:hAnsi="Arial" w:cs="Arial" w:hint="eastAsia"/>
          <w:lang w:eastAsia="zh-CN"/>
        </w:rPr>
        <w:t>confirm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if a separate parameter is needed or if they share the </w:t>
      </w:r>
      <w:r>
        <w:rPr>
          <w:rFonts w:ascii="Arial" w:eastAsia="DengXian" w:hAnsi="Arial" w:cs="Arial" w:hint="eastAsia"/>
          <w:lang w:eastAsia="zh-CN"/>
        </w:rPr>
        <w:t xml:space="preserve">same </w:t>
      </w:r>
      <w:r>
        <w:rPr>
          <w:rFonts w:ascii="Arial" w:eastAsia="DengXian" w:hAnsi="Arial" w:cs="Arial"/>
          <w:lang w:eastAsia="zh-CN"/>
        </w:rPr>
        <w:t>configuration of codebookMode.</w:t>
      </w:r>
      <w:r>
        <w:rPr>
          <w:rFonts w:ascii="Arial" w:eastAsia="DengXian" w:hAnsi="Arial" w:cs="Arial" w:hint="eastAsia"/>
          <w:lang w:eastAsia="zh-CN"/>
        </w:rPr>
        <w:t xml:space="preserve"> </w:t>
      </w:r>
    </w:p>
    <w:p w14:paraId="1E8C8560" w14:textId="77777777" w:rsidR="006E0850" w:rsidRDefault="006E0850">
      <w:pPr>
        <w:pStyle w:val="ListParagraph"/>
        <w:spacing w:after="120"/>
        <w:ind w:left="1080"/>
        <w:rPr>
          <w:rFonts w:ascii="Arial" w:eastAsia="DengXian" w:hAnsi="Arial" w:cs="Arial"/>
          <w:b/>
          <w:lang w:eastAsia="zh-CN"/>
        </w:rPr>
      </w:pPr>
    </w:p>
    <w:p w14:paraId="0FE587A6" w14:textId="77777777" w:rsidR="006E0850" w:rsidRDefault="00320836">
      <w:pPr>
        <w:pStyle w:val="ListParagraph"/>
        <w:spacing w:after="120"/>
        <w:ind w:left="0"/>
        <w:rPr>
          <w:rFonts w:ascii="Arial" w:eastAsia="DengXian" w:hAnsi="Arial" w:cs="Arial"/>
          <w:b/>
          <w:lang w:eastAsia="zh-CN"/>
        </w:rPr>
      </w:pPr>
      <w:r>
        <w:rPr>
          <w:rFonts w:ascii="Arial" w:eastAsia="DengXian" w:hAnsi="Arial" w:cs="Arial"/>
          <w:b/>
          <w:lang w:eastAsia="zh-CN"/>
        </w:rPr>
        <w:t xml:space="preserve">For </w:t>
      </w:r>
      <w:r>
        <w:rPr>
          <w:rFonts w:ascii="Arial" w:eastAsia="DengXian" w:hAnsi="Arial" w:cs="Arial"/>
          <w:b/>
          <w:lang w:eastAsia="zh-CN"/>
        </w:rPr>
        <w:t>configuring pathloss</w:t>
      </w:r>
      <w:r>
        <w:rPr>
          <w:rFonts w:ascii="Arial" w:eastAsia="DengXian" w:hAnsi="Arial" w:cs="Arial" w:hint="eastAsia"/>
          <w:b/>
          <w:lang w:eastAsia="zh-CN"/>
        </w:rPr>
        <w:t xml:space="preserve"> </w:t>
      </w:r>
      <w:r>
        <w:rPr>
          <w:rFonts w:ascii="Arial" w:eastAsia="DengXian" w:hAnsi="Arial" w:cs="Arial"/>
          <w:b/>
          <w:lang w:eastAsia="zh-CN"/>
        </w:rPr>
        <w:t>reference signal</w:t>
      </w:r>
      <w:r>
        <w:rPr>
          <w:rFonts w:ascii="Arial" w:eastAsia="DengXian" w:hAnsi="Arial" w:cs="Arial"/>
          <w:b/>
          <w:lang w:eastAsia="zh-CN"/>
        </w:rPr>
        <w:t xml:space="preserve"> for unified TCI state</w:t>
      </w:r>
    </w:p>
    <w:p w14:paraId="7391A1A0" w14:textId="39096843" w:rsidR="006E0850" w:rsidRDefault="00320836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>RAN2 would like to inform RAN1 o</w:t>
      </w:r>
      <w:r>
        <w:rPr>
          <w:rFonts w:ascii="Arial" w:eastAsia="DengXian" w:hAnsi="Arial" w:cs="Arial"/>
          <w:bCs/>
          <w:lang w:eastAsia="zh-CN"/>
        </w:rPr>
        <w:t>f</w:t>
      </w:r>
      <w:r>
        <w:rPr>
          <w:rFonts w:ascii="Arial" w:eastAsia="DengXian" w:hAnsi="Arial" w:cs="Arial"/>
          <w:bCs/>
          <w:lang w:eastAsia="zh-CN"/>
        </w:rPr>
        <w:t xml:space="preserve"> how pathloss reference RS is configured for unified TCI state operation</w:t>
      </w:r>
      <w:r>
        <w:rPr>
          <w:rFonts w:ascii="Arial" w:eastAsia="DengXian" w:hAnsi="Arial" w:cs="Arial"/>
          <w:bCs/>
          <w:lang w:eastAsia="zh-CN"/>
        </w:rPr>
        <w:t xml:space="preserve">. In each BWP-UplinkDedicated UE may be configured </w:t>
      </w:r>
      <w:r>
        <w:rPr>
          <w:rFonts w:ascii="Arial" w:eastAsia="DengXian" w:hAnsi="Arial" w:cs="Arial"/>
          <w:bCs/>
          <w:lang w:eastAsia="zh-CN"/>
        </w:rPr>
        <w:t xml:space="preserve">with </w:t>
      </w:r>
      <w:r>
        <w:rPr>
          <w:rFonts w:ascii="Arial" w:eastAsia="DengXian" w:hAnsi="Arial" w:cs="Arial"/>
          <w:bCs/>
          <w:lang w:eastAsia="zh-CN"/>
        </w:rPr>
        <w:t xml:space="preserve">up to 64 pathloss reference RS by field </w:t>
      </w:r>
      <w:r w:rsidRPr="000F2123">
        <w:rPr>
          <w:rFonts w:ascii="Arial" w:eastAsia="DengXian" w:hAnsi="Arial" w:cs="Arial"/>
          <w:bCs/>
          <w:i/>
          <w:iCs/>
          <w:lang w:eastAsia="zh-CN"/>
        </w:rPr>
        <w:t>pathlossReferenceRSToAddModList</w:t>
      </w:r>
      <w:r>
        <w:rPr>
          <w:rFonts w:ascii="Arial" w:eastAsia="DengXian" w:hAnsi="Arial" w:cs="Arial"/>
          <w:bCs/>
          <w:i/>
          <w:iCs/>
          <w:lang w:eastAsia="zh-CN"/>
        </w:rPr>
        <w:t xml:space="preserve">. </w:t>
      </w:r>
      <w:r>
        <w:rPr>
          <w:rFonts w:ascii="Arial" w:eastAsia="DengXian" w:hAnsi="Arial" w:cs="Arial"/>
          <w:bCs/>
          <w:lang w:eastAsia="zh-CN"/>
        </w:rPr>
        <w:t xml:space="preserve">Each joint or UL TCI state may be linked to one pathloss reference RS from this list. </w:t>
      </w:r>
      <w:r>
        <w:rPr>
          <w:rFonts w:ascii="Arial" w:eastAsia="DengXian" w:hAnsi="Arial" w:cs="Arial"/>
          <w:bCs/>
          <w:lang w:eastAsia="zh-CN"/>
        </w:rPr>
        <w:t xml:space="preserve">There is further MAC CE and DCI operation to indicate UE </w:t>
      </w:r>
      <w:r>
        <w:rPr>
          <w:rFonts w:ascii="Arial" w:eastAsia="DengXian" w:hAnsi="Arial" w:cs="Arial" w:hint="eastAsia"/>
          <w:bCs/>
          <w:lang w:eastAsia="zh-CN"/>
        </w:rPr>
        <w:t>which</w:t>
      </w:r>
      <w:r>
        <w:rPr>
          <w:rFonts w:ascii="Arial" w:eastAsia="DengXian" w:hAnsi="Arial" w:cs="Arial"/>
          <w:bCs/>
          <w:lang w:eastAsia="zh-CN"/>
        </w:rPr>
        <w:t xml:space="preserve"> pathloss reference RSs to follow. </w:t>
      </w:r>
    </w:p>
    <w:p w14:paraId="34F26B6A" w14:textId="77777777" w:rsidR="006E0850" w:rsidRDefault="00320836" w:rsidP="000F2123">
      <w:pPr>
        <w:spacing w:after="120"/>
        <w:rPr>
          <w:rFonts w:ascii="Arial" w:eastAsia="DengXian" w:hAnsi="Arial" w:cs="Arial"/>
          <w:bCs/>
          <w:lang w:eastAsia="zh-CN"/>
        </w:rPr>
      </w:pPr>
      <w:r w:rsidRPr="000F2123">
        <w:rPr>
          <w:rFonts w:ascii="Arial" w:hAnsi="Arial" w:cs="Arial"/>
          <w:b/>
          <w:bCs/>
        </w:rPr>
        <w:t>Question 3</w:t>
      </w:r>
    </w:p>
    <w:p w14:paraId="530F97C0" w14:textId="28A6C68F" w:rsidR="006E0850" w:rsidRDefault="00320836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  <w:r>
        <w:rPr>
          <w:rFonts w:ascii="Arial" w:eastAsia="DengXian" w:hAnsi="Arial" w:cs="Arial"/>
          <w:bCs/>
          <w:lang w:eastAsia="zh-CN"/>
        </w:rPr>
        <w:t xml:space="preserve">RAN2 assumes </w:t>
      </w:r>
      <w:r>
        <w:rPr>
          <w:rFonts w:ascii="Arial" w:eastAsia="DengXian" w:hAnsi="Arial" w:cs="Arial"/>
          <w:bCs/>
          <w:lang w:eastAsia="zh-CN"/>
        </w:rPr>
        <w:t xml:space="preserve">RAN1 informs RAN2 in case the </w:t>
      </w:r>
      <w:r>
        <w:rPr>
          <w:rFonts w:ascii="Arial" w:eastAsia="DengXian" w:hAnsi="Arial" w:cs="Arial" w:hint="eastAsia"/>
          <w:bCs/>
          <w:lang w:eastAsia="zh-CN"/>
        </w:rPr>
        <w:t>above described pathloss reference si</w:t>
      </w:r>
      <w:r>
        <w:rPr>
          <w:rFonts w:ascii="Arial" w:eastAsia="DengXian" w:hAnsi="Arial" w:cs="Arial" w:hint="eastAsia"/>
          <w:bCs/>
          <w:lang w:eastAsia="zh-CN"/>
        </w:rPr>
        <w:t>g</w:t>
      </w:r>
      <w:r w:rsidR="000F2123">
        <w:rPr>
          <w:rFonts w:ascii="Arial" w:eastAsia="DengXian" w:hAnsi="Arial" w:cs="Arial"/>
          <w:bCs/>
          <w:lang w:eastAsia="zh-CN"/>
        </w:rPr>
        <w:t>n</w:t>
      </w:r>
      <w:r>
        <w:rPr>
          <w:rFonts w:ascii="Arial" w:eastAsia="DengXian" w:hAnsi="Arial" w:cs="Arial" w:hint="eastAsia"/>
          <w:bCs/>
          <w:lang w:eastAsia="zh-CN"/>
        </w:rPr>
        <w:t xml:space="preserve">al </w:t>
      </w:r>
      <w:r>
        <w:rPr>
          <w:rFonts w:ascii="Arial" w:eastAsia="DengXian" w:hAnsi="Arial" w:cs="Arial"/>
          <w:bCs/>
          <w:lang w:eastAsia="zh-CN"/>
        </w:rPr>
        <w:t>configuration</w:t>
      </w:r>
      <w:r>
        <w:rPr>
          <w:rFonts w:ascii="Arial" w:eastAsia="DengXian" w:hAnsi="Arial" w:cs="Arial" w:hint="eastAsia"/>
          <w:bCs/>
          <w:lang w:eastAsia="zh-CN"/>
        </w:rPr>
        <w:t xml:space="preserve"> for unified TCI state</w:t>
      </w:r>
      <w:r>
        <w:rPr>
          <w:rFonts w:ascii="Arial" w:eastAsia="DengXian" w:hAnsi="Arial" w:cs="Arial"/>
          <w:bCs/>
          <w:lang w:eastAsia="zh-CN"/>
        </w:rPr>
        <w:t xml:space="preserve"> is not what RAN1 has intended.</w:t>
      </w:r>
    </w:p>
    <w:p w14:paraId="183D7D37" w14:textId="77777777" w:rsidR="006E0850" w:rsidRPr="000F2123" w:rsidRDefault="006E0850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09F96001" w14:textId="77777777" w:rsidR="006E0850" w:rsidRDefault="003208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EE4C29B" w14:textId="77777777" w:rsidR="006E0850" w:rsidRDefault="00320836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690A8FA5" w14:textId="77777777" w:rsidR="006E0850" w:rsidRDefault="00320836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553596E4" w14:textId="77777777" w:rsidR="006E0850" w:rsidRDefault="006E0850">
      <w:pPr>
        <w:spacing w:after="120"/>
        <w:rPr>
          <w:rFonts w:ascii="Arial" w:hAnsi="Arial" w:cs="Arial"/>
          <w:b/>
        </w:rPr>
      </w:pPr>
    </w:p>
    <w:p w14:paraId="03EA7C87" w14:textId="77777777" w:rsidR="006E0850" w:rsidRDefault="0032083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  <w:b/>
        </w:rPr>
        <w:t>Date of Next TSG-RAN WG2 Meetings:</w:t>
      </w:r>
    </w:p>
    <w:p w14:paraId="55B7F666" w14:textId="77777777" w:rsidR="006E0850" w:rsidRDefault="003208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#120 </w:t>
      </w:r>
      <w:r>
        <w:rPr>
          <w:rFonts w:ascii="Arial" w:hAnsi="Arial" w:cs="Arial"/>
          <w:bCs/>
          <w:color w:val="000000"/>
        </w:rPr>
        <w:tab/>
        <w:t>November 2022    Toulouse</w:t>
      </w:r>
    </w:p>
    <w:p w14:paraId="0D74791B" w14:textId="77777777" w:rsidR="006E0850" w:rsidRDefault="003208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#121</w:t>
      </w:r>
      <w:r>
        <w:rPr>
          <w:rFonts w:ascii="Arial" w:hAnsi="Arial" w:cs="Arial"/>
          <w:bCs/>
          <w:color w:val="000000"/>
        </w:rPr>
        <w:tab/>
        <w:t>February 2023      Athens</w:t>
      </w:r>
    </w:p>
    <w:p w14:paraId="4856B050" w14:textId="77777777" w:rsidR="006E0850" w:rsidRDefault="006E085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p w14:paraId="40B6CD0C" w14:textId="77777777" w:rsidR="006E0850" w:rsidRDefault="006E085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6E0850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80339" w14:textId="77777777" w:rsidR="00320836" w:rsidRDefault="00320836">
      <w:r>
        <w:separator/>
      </w:r>
    </w:p>
  </w:endnote>
  <w:endnote w:type="continuationSeparator" w:id="0">
    <w:p w14:paraId="668BCF80" w14:textId="77777777" w:rsidR="00320836" w:rsidRDefault="00320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C0BC" w14:textId="77777777" w:rsidR="00320836" w:rsidRDefault="00320836">
      <w:r>
        <w:separator/>
      </w:r>
    </w:p>
  </w:footnote>
  <w:footnote w:type="continuationSeparator" w:id="0">
    <w:p w14:paraId="4D28069B" w14:textId="77777777" w:rsidR="00320836" w:rsidRDefault="003208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74147C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0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6"/>
  </w:num>
  <w:num w:numId="2">
    <w:abstractNumId w:val="30"/>
  </w:num>
  <w:num w:numId="3">
    <w:abstractNumId w:val="26"/>
  </w:num>
  <w:num w:numId="4">
    <w:abstractNumId w:val="7"/>
  </w:num>
  <w:num w:numId="5">
    <w:abstractNumId w:val="8"/>
  </w:num>
  <w:num w:numId="6">
    <w:abstractNumId w:val="29"/>
  </w:num>
  <w:num w:numId="7">
    <w:abstractNumId w:val="40"/>
  </w:num>
  <w:num w:numId="8">
    <w:abstractNumId w:val="37"/>
  </w:num>
  <w:num w:numId="9">
    <w:abstractNumId w:val="22"/>
  </w:num>
  <w:num w:numId="10">
    <w:abstractNumId w:val="5"/>
  </w:num>
  <w:num w:numId="11">
    <w:abstractNumId w:val="12"/>
  </w:num>
  <w:num w:numId="12">
    <w:abstractNumId w:val="11"/>
  </w:num>
  <w:num w:numId="13">
    <w:abstractNumId w:val="15"/>
  </w:num>
  <w:num w:numId="14">
    <w:abstractNumId w:val="18"/>
  </w:num>
  <w:num w:numId="15">
    <w:abstractNumId w:val="27"/>
  </w:num>
  <w:num w:numId="16">
    <w:abstractNumId w:val="38"/>
  </w:num>
  <w:num w:numId="17">
    <w:abstractNumId w:val="23"/>
  </w:num>
  <w:num w:numId="18">
    <w:abstractNumId w:val="35"/>
  </w:num>
  <w:num w:numId="19">
    <w:abstractNumId w:val="2"/>
  </w:num>
  <w:num w:numId="20">
    <w:abstractNumId w:val="25"/>
  </w:num>
  <w:num w:numId="21">
    <w:abstractNumId w:val="19"/>
  </w:num>
  <w:num w:numId="22">
    <w:abstractNumId w:val="0"/>
  </w:num>
  <w:num w:numId="23">
    <w:abstractNumId w:val="32"/>
  </w:num>
  <w:num w:numId="24">
    <w:abstractNumId w:val="0"/>
  </w:num>
  <w:num w:numId="25">
    <w:abstractNumId w:val="28"/>
  </w:num>
  <w:num w:numId="26">
    <w:abstractNumId w:val="16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1"/>
  </w:num>
  <w:num w:numId="30">
    <w:abstractNumId w:val="13"/>
  </w:num>
  <w:num w:numId="31">
    <w:abstractNumId w:val="41"/>
  </w:num>
  <w:num w:numId="32">
    <w:abstractNumId w:val="14"/>
  </w:num>
  <w:num w:numId="33">
    <w:abstractNumId w:val="17"/>
  </w:num>
  <w:num w:numId="34">
    <w:abstractNumId w:val="3"/>
  </w:num>
  <w:num w:numId="35">
    <w:abstractNumId w:val="10"/>
  </w:num>
  <w:num w:numId="36">
    <w:abstractNumId w:val="24"/>
  </w:num>
  <w:num w:numId="37">
    <w:abstractNumId w:val="1"/>
  </w:num>
  <w:num w:numId="38">
    <w:abstractNumId w:val="20"/>
  </w:num>
  <w:num w:numId="39">
    <w:abstractNumId w:val="34"/>
  </w:num>
  <w:num w:numId="40">
    <w:abstractNumId w:val="39"/>
  </w:num>
  <w:num w:numId="41">
    <w:abstractNumId w:val="4"/>
  </w:num>
  <w:num w:numId="42">
    <w:abstractNumId w:val="43"/>
  </w:num>
  <w:num w:numId="43">
    <w:abstractNumId w:val="9"/>
  </w:num>
  <w:num w:numId="44">
    <w:abstractNumId w:val="42"/>
  </w:num>
  <w:num w:numId="45">
    <w:abstractNumId w:val="31"/>
  </w:num>
  <w:num w:numId="46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7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0850"/>
    <w:rsid w:val="000F2123"/>
    <w:rsid w:val="00210AA2"/>
    <w:rsid w:val="00320836"/>
    <w:rsid w:val="006E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3D0D3D5"/>
  <w15:docId w15:val="{31ADA562-03F4-4C99-8C84-0E4725C0C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fontstyle01">
    <w:name w:val="fontstyle01"/>
    <w:basedOn w:val="DefaultParagraphFont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DDCEE0-F089-423D-B1B9-C3D0F8405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RAN2#119bis_Rapp</cp:lastModifiedBy>
  <cp:revision>3</cp:revision>
  <cp:lastPrinted>2002-04-23T07:10:00Z</cp:lastPrinted>
  <dcterms:created xsi:type="dcterms:W3CDTF">2022-10-19T04:20:00Z</dcterms:created>
  <dcterms:modified xsi:type="dcterms:W3CDTF">2022-10-19T04:20:00Z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